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0000001">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 xml:space="preserve">[COLD OPEN]</w:t>
      </w:r>
      <w:r>
        <w:rPr>
          <w:rFonts w:ascii="Cambria" w:hAnsi="Cambria" w:eastAsia="Cambria" w:cs="Cambria"/>
          <w:i/>
          <w:iCs/>
          <w:sz w:val="24"/>
          <w:szCs w:val="24"/>
        </w:rPr>
      </w:r>
    </w:p>
    <w:p w14:paraId="00000002">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Lauren Prather: </w:t>
      </w:r>
      <w:r>
        <w:rPr>
          <w:rFonts w:ascii="Cambria" w:hAnsi="Cambria" w:eastAsia="Cambria" w:cs="Cambria"/>
          <w:i/>
          <w:iCs/>
          <w:sz w:val="24"/>
          <w:szCs w:val="24"/>
          <w:rtl w:val="0"/>
        </w:rPr>
        <w:t xml:space="preserve">If you would like some ammunition, here is your evidence. </w:t>
      </w:r>
      <w:r>
        <w:rPr>
          <w:rtl w:val="0"/>
        </w:rPr>
      </w:r>
      <w:r>
        <w:rPr>
          <w:rFonts w:ascii="Cambria" w:hAnsi="Cambria" w:eastAsia="Cambria" w:cs="Cambria"/>
          <w:i/>
          <w:iCs/>
          <w:sz w:val="24"/>
          <w:szCs w:val="24"/>
        </w:rPr>
      </w:r>
    </w:p>
    <w:p w14:paraId="00000003">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 xml:space="preserve">[INTRO MUX]</w:t>
      </w:r>
      <w:r>
        <w:rPr>
          <w:rFonts w:ascii="Cambria" w:hAnsi="Cambria" w:eastAsia="Cambria" w:cs="Cambria"/>
          <w:i/>
          <w:iCs/>
          <w:sz w:val="24"/>
          <w:szCs w:val="24"/>
        </w:rPr>
      </w:r>
    </w:p>
    <w:p w14:paraId="5A0625BA">
      <w:pPr>
        <w:pBdr/>
        <w:spacing w:after="360"/>
        <w:ind/>
        <w:rPr>
          <w:rFonts w:ascii="Cambria" w:hAnsi="Cambria" w:eastAsia="Cambria" w:cs="Cambria"/>
          <w:sz w:val="24"/>
          <w:szCs w:val="24"/>
        </w:rPr>
      </w:pPr>
      <w:r>
        <w:rPr>
          <w:rFonts w:ascii="Cambria" w:hAnsi="Cambria" w:eastAsia="Cambria" w:cs="Cambria"/>
          <w:b/>
          <w:bCs/>
          <w:sz w:val="24"/>
          <w:szCs w:val="24"/>
          <w:rtl w:val="0"/>
        </w:rPr>
        <w:t xml:space="preserve">SERIES INTRO: </w:t>
      </w:r>
      <w:r>
        <w:rPr>
          <w:rFonts w:ascii="Cambria" w:hAnsi="Cambria" w:eastAsia="Cambria" w:cs="Cambria"/>
          <w:b/>
          <w:bCs/>
          <w:i/>
          <w:iCs/>
          <w:sz w:val="24"/>
          <w:szCs w:val="24"/>
          <w:rtl w:val="0"/>
        </w:rPr>
        <w:t xml:space="preserve">[60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Welcome to the </w:t>
      </w:r>
      <w:r>
        <w:rPr>
          <w:rFonts w:ascii="Cambria" w:hAnsi="Cambria" w:eastAsia="Cambria" w:cs="Cambria"/>
          <w:i/>
          <w:iCs/>
          <w:sz w:val="24"/>
          <w:szCs w:val="24"/>
          <w:rtl w:val="0"/>
        </w:rPr>
        <w:t xml:space="preserve">Election Trust Research Podcast</w:t>
      </w:r>
      <w:r>
        <w:rPr>
          <w:rFonts w:ascii="Cambria" w:hAnsi="Cambria" w:eastAsia="Cambria" w:cs="Cambria"/>
          <w:sz w:val="24"/>
          <w:szCs w:val="24"/>
          <w:rtl w:val="0"/>
        </w:rPr>
        <w:t xml:space="preserve">, a production of the Center for Transparent and Trusted Elections at the University of California San Diego. </w:t>
      </w:r>
      <w:r>
        <w:rPr>
          <w:rFonts w:ascii="Cambria" w:hAnsi="Cambria" w:eastAsia="Cambria" w:cs="Cambria"/>
          <w:sz w:val="24"/>
          <w:szCs w:val="24"/>
        </w:rPr>
      </w:r>
      <w:r>
        <w:rPr>
          <w:rFonts w:ascii="Cambria" w:hAnsi="Cambria" w:eastAsia="Cambria" w:cs="Cambria"/>
          <w:sz w:val="24"/>
          <w:szCs w:val="24"/>
        </w:rPr>
      </w:r>
    </w:p>
    <w:p w14:paraId="586AE2FC">
      <w:pPr>
        <w:pBdr/>
        <w:spacing w:after="360"/>
        <w:ind/>
        <w:rPr>
          <w:rFonts w:ascii="Cambria" w:hAnsi="Cambria" w:eastAsia="Cambria" w:cs="Cambria"/>
          <w:sz w:val="24"/>
          <w:szCs w:val="24"/>
        </w:rPr>
      </w:pPr>
      <w:r>
        <w:rPr>
          <w:rFonts w:ascii="Cambria" w:hAnsi="Cambria" w:eastAsia="Cambria" w:cs="Cambria"/>
          <w:sz w:val="24"/>
          <w:szCs w:val="24"/>
          <w:rtl w:val="0"/>
        </w:rPr>
        <w:t xml:space="preserve">At a time when American elections are being tested in new and complex ways, it’s more important than ever to bridge the gap between th</w:t>
      </w:r>
      <w:r>
        <w:rPr>
          <w:rFonts w:ascii="Cambria" w:hAnsi="Cambria" w:eastAsia="Cambria" w:cs="Cambria"/>
          <w:sz w:val="24"/>
          <w:szCs w:val="24"/>
          <w:rtl w:val="0"/>
        </w:rPr>
        <w:t xml:space="preserve">ose who run elections and those who study them. In March, 2025, the University of California San Diego brought together election administrators and researchers from across the country. These are people who don’t always end up in the same room — but should.</w:t>
      </w:r>
      <w:r>
        <w:rPr>
          <w:rFonts w:ascii="Cambria" w:hAnsi="Cambria" w:eastAsia="Cambria" w:cs="Cambria"/>
          <w:sz w:val="24"/>
          <w:szCs w:val="24"/>
        </w:rPr>
      </w:r>
      <w:r>
        <w:rPr>
          <w:rFonts w:ascii="Cambria" w:hAnsi="Cambria" w:eastAsia="Cambria" w:cs="Cambria"/>
          <w:sz w:val="24"/>
          <w:szCs w:val="24"/>
        </w:rPr>
      </w:r>
    </w:p>
    <w:p w14:paraId="7BD327F3">
      <w:pPr>
        <w:pBdr/>
        <w:spacing w:after="360"/>
        <w:ind/>
        <w:rPr>
          <w:rFonts w:ascii="Cambria" w:hAnsi="Cambria" w:eastAsia="Cambria" w:cs="Cambria"/>
          <w:sz w:val="24"/>
          <w:szCs w:val="24"/>
        </w:rPr>
      </w:pPr>
      <w:r>
        <w:rPr>
          <w:rFonts w:ascii="Cambria" w:hAnsi="Cambria" w:eastAsia="Cambria" w:cs="Cambria"/>
          <w:sz w:val="24"/>
          <w:szCs w:val="24"/>
          <w:rtl w:val="0"/>
        </w:rPr>
        <w:t xml:space="preserve">In this podcast series, we’re sharing conversations with some of the participants of this convening. You’ll hear from election administrators, political scientists, nonprof</w:t>
      </w:r>
      <w:r>
        <w:rPr>
          <w:rFonts w:ascii="Cambria" w:hAnsi="Cambria" w:eastAsia="Cambria" w:cs="Cambria"/>
          <w:sz w:val="24"/>
          <w:szCs w:val="24"/>
          <w:rtl w:val="0"/>
        </w:rPr>
        <w:t xml:space="preserve">it leaders — people from across the political spectrum working to improve elections and increase public trust. Together, they offer a nuanced look at the state of our election systems — and, opportunities to strengthen them. I’m your host, Avi Green.</w:t>
      </w:r>
      <w:r>
        <w:rPr>
          <w:rFonts w:ascii="Cambria" w:hAnsi="Cambria" w:eastAsia="Cambria" w:cs="Cambria"/>
          <w:sz w:val="24"/>
          <w:szCs w:val="24"/>
        </w:rPr>
      </w:r>
      <w:r>
        <w:rPr>
          <w:rFonts w:ascii="Cambria" w:hAnsi="Cambria" w:eastAsia="Cambria" w:cs="Cambria"/>
          <w:sz w:val="24"/>
          <w:szCs w:val="24"/>
        </w:rPr>
      </w:r>
      <w:r>
        <w:rPr>
          <w:rFonts w:ascii="Cambria" w:hAnsi="Cambria" w:eastAsia="Cambria" w:cs="Cambria"/>
          <w:sz w:val="24"/>
          <w:szCs w:val="24"/>
          <w:rtl w:val="0"/>
        </w:rPr>
      </w:r>
      <w:r>
        <w:rPr>
          <w:rFonts w:ascii="Cambria" w:hAnsi="Cambria" w:eastAsia="Cambria" w:cs="Cambria"/>
          <w:sz w:val="24"/>
          <w:szCs w:val="24"/>
        </w:rPr>
      </w:r>
      <w:r>
        <w:rPr>
          <w:rFonts w:ascii="Cambria" w:hAnsi="Cambria" w:eastAsia="Cambria" w:cs="Cambria"/>
          <w:sz w:val="24"/>
          <w:szCs w:val="24"/>
        </w:rPr>
      </w:r>
    </w:p>
    <w:p w14:paraId="00000007">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 xml:space="preserve">[MUX BEAT] </w:t>
      </w:r>
      <w:r>
        <w:rPr>
          <w:rFonts w:ascii="Cambria" w:hAnsi="Cambria" w:eastAsia="Cambria" w:cs="Cambria"/>
          <w:i/>
          <w:iCs/>
          <w:sz w:val="24"/>
          <w:szCs w:val="24"/>
        </w:rPr>
      </w:r>
    </w:p>
    <w:p w14:paraId="00000008">
      <w:pPr>
        <w:pBdr/>
        <w:spacing w:after="360" w:line="240" w:lineRule="auto"/>
        <w:ind/>
        <w:rPr>
          <w:rFonts w:ascii="Cambria" w:hAnsi="Cambria" w:eastAsia="Cambria" w:cs="Cambria"/>
          <w:sz w:val="24"/>
          <w:szCs w:val="24"/>
        </w:rPr>
      </w:pPr>
      <w:r>
        <w:rPr>
          <w:rFonts w:ascii="Cambria" w:hAnsi="Cambria" w:eastAsia="Cambria" w:cs="Cambria"/>
          <w:b/>
          <w:bCs/>
          <w:sz w:val="24"/>
          <w:szCs w:val="24"/>
          <w:rtl w:val="0"/>
        </w:rPr>
        <w:t xml:space="preserve">EPISODE INTRO </w:t>
      </w:r>
      <w:r>
        <w:rPr>
          <w:rFonts w:ascii="Cambria" w:hAnsi="Cambria" w:eastAsia="Cambria" w:cs="Cambria"/>
          <w:b/>
          <w:bCs/>
          <w:i/>
          <w:iCs/>
          <w:sz w:val="24"/>
          <w:szCs w:val="24"/>
          <w:rtl w:val="0"/>
        </w:rPr>
        <w:t xml:space="preserve">[30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Today on the show, I </w:t>
      </w:r>
      <w:r>
        <w:rPr>
          <w:rFonts w:ascii="Cambria" w:hAnsi="Cambria" w:eastAsia="Cambria" w:cs="Cambria"/>
          <w:sz w:val="24"/>
          <w:szCs w:val="24"/>
          <w:rtl w:val="0"/>
        </w:rPr>
        <w:t xml:space="preserve">talk</w:t>
      </w:r>
      <w:r>
        <w:rPr>
          <w:rFonts w:ascii="Cambria" w:hAnsi="Cambria" w:eastAsia="Cambria" w:cs="Cambria"/>
          <w:sz w:val="24"/>
          <w:szCs w:val="24"/>
          <w:rtl w:val="0"/>
        </w:rPr>
        <w:t xml:space="preserve"> with Lauren Prather, who is  an associate professor of political science at UC San Diego. </w:t>
      </w:r>
      <w:r>
        <w:rPr>
          <w:rFonts w:ascii="Cambria" w:hAnsi="Cambria" w:eastAsia="Cambria" w:cs="Cambria"/>
          <w:sz w:val="24"/>
          <w:szCs w:val="24"/>
        </w:rPr>
      </w:r>
    </w:p>
    <w:p w14:paraId="00000009">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 xml:space="preserve">[MUX FADE]</w:t>
      </w:r>
      <w:r>
        <w:rPr>
          <w:rFonts w:ascii="Cambria" w:hAnsi="Cambria" w:eastAsia="Cambria" w:cs="Cambria"/>
          <w:i/>
          <w:iCs/>
          <w:sz w:val="24"/>
          <w:szCs w:val="24"/>
        </w:rPr>
      </w:r>
    </w:p>
    <w:p w14:paraId="0000000A">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[00:00:00] Can you just say a little bit about your work, and why you've chosen to do what you do?</w:t>
      </w:r>
      <w:r>
        <w:rPr>
          <w:rFonts w:ascii="Cambria" w:hAnsi="Cambria" w:eastAsia="Cambria" w:cs="Cambria"/>
          <w:i/>
          <w:iCs/>
          <w:sz w:val="24"/>
          <w:szCs w:val="24"/>
        </w:rPr>
      </w:r>
    </w:p>
    <w:p w14:paraId="0000000B">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Lauren Prather:</w:t>
      </w:r>
      <w:r>
        <w:rPr>
          <w:rFonts w:ascii="Cambria" w:hAnsi="Cambria" w:eastAsia="Cambria" w:cs="Cambria"/>
          <w:i/>
          <w:iCs/>
          <w:sz w:val="24"/>
          <w:szCs w:val="24"/>
          <w:rtl w:val="0"/>
        </w:rPr>
        <w:t xml:space="preserve"> I became</w:t>
      </w:r>
      <w:r>
        <w:rPr>
          <w:rFonts w:ascii="Cambria" w:hAnsi="Cambria" w:eastAsia="Cambria" w:cs="Cambria"/>
          <w:i/>
          <w:iCs/>
          <w:sz w:val="24"/>
          <w:szCs w:val="24"/>
          <w:rtl w:val="0"/>
        </w:rPr>
        <w:t xml:space="preserve"> fascinated with political science basically in high school. I started out being really interested in history, and then my senior year of high school, September 11th happened and I became really aware of international relations and foreign policy and the i</w:t>
      </w:r>
      <w:r>
        <w:rPr>
          <w:rFonts w:ascii="Cambria" w:hAnsi="Cambria" w:eastAsia="Cambria" w:cs="Cambria"/>
          <w:i/>
          <w:iCs/>
          <w:sz w:val="24"/>
          <w:szCs w:val="24"/>
          <w:rtl w:val="0"/>
        </w:rPr>
        <w:t xml:space="preserve">mpact all of that has on individuals no matter where they live. So I majored in political science. I wrote my senior thesis that I turned into my first published article on elections and election monitoring, and in particular, how to make elections more ac</w:t>
      </w:r>
      <w:r>
        <w:rPr>
          <w:rFonts w:ascii="Cambria" w:hAnsi="Cambria" w:eastAsia="Cambria" w:cs="Cambria"/>
          <w:i/>
          <w:iCs/>
          <w:sz w:val="24"/>
          <w:szCs w:val="24"/>
          <w:rtl w:val="0"/>
        </w:rPr>
        <w:t xml:space="preserve">cessible for refugees and displaced persons. So I became very interested in that topic as an undergrad. Continued to be interested in topics around elections, and began pursuing projects around election transparency and trust in grad school. Primarily actu</w:t>
      </w:r>
      <w:r>
        <w:rPr>
          <w:rFonts w:ascii="Cambria" w:hAnsi="Cambria" w:eastAsia="Cambria" w:cs="Cambria"/>
          <w:i/>
          <w:iCs/>
          <w:sz w:val="24"/>
          <w:szCs w:val="24"/>
          <w:rtl w:val="0"/>
        </w:rPr>
        <w:t xml:space="preserve">ally focused on these outcomes in other countries because I was trained as an international relations and [00:01:00] comparative politics researcher, but as I was doing that research in other countries, I began to become aware that my expertise could be us</w:t>
      </w:r>
      <w:r>
        <w:rPr>
          <w:rFonts w:ascii="Cambria" w:hAnsi="Cambria" w:eastAsia="Cambria" w:cs="Cambria"/>
          <w:i/>
          <w:iCs/>
          <w:sz w:val="24"/>
          <w:szCs w:val="24"/>
          <w:rtl w:val="0"/>
        </w:rPr>
        <w:t xml:space="preserve">eful in the United States in thinking about American democracy and American trust in elections. And so that's how I've come to be in this community and am really interested in how to make an impact on American democracy using what I've learned from abroad.</w:t>
      </w:r>
      <w:r>
        <w:rPr>
          <w:rFonts w:ascii="Cambria" w:hAnsi="Cambria" w:eastAsia="Cambria" w:cs="Cambria"/>
          <w:i/>
          <w:iCs/>
          <w:sz w:val="24"/>
          <w:szCs w:val="24"/>
        </w:rPr>
      </w:r>
    </w:p>
    <w:p w14:paraId="0000000C">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Can you tell me a little bit about some of the other countries that you've studied and things that have happened to you or that you've seen in those places?</w:t>
      </w:r>
      <w:r>
        <w:rPr>
          <w:rFonts w:ascii="Cambria" w:hAnsi="Cambria" w:eastAsia="Cambria" w:cs="Cambria"/>
          <w:i/>
          <w:iCs/>
          <w:sz w:val="24"/>
          <w:szCs w:val="24"/>
        </w:rPr>
      </w:r>
    </w:p>
    <w:p w14:paraId="0000000D">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Lauren Prather:</w:t>
      </w:r>
      <w:r>
        <w:rPr>
          <w:rFonts w:ascii="Cambria" w:hAnsi="Cambria" w:eastAsia="Cambria" w:cs="Cambria"/>
          <w:i/>
          <w:iCs/>
          <w:sz w:val="24"/>
          <w:szCs w:val="24"/>
          <w:rtl w:val="0"/>
        </w:rPr>
        <w:t xml:space="preserve"> The work that I started in grad school was around international election observation. Much of this work is with a c</w:t>
      </w:r>
      <w:r>
        <w:rPr>
          <w:rFonts w:ascii="Cambria" w:hAnsi="Cambria" w:eastAsia="Cambria" w:cs="Cambria"/>
          <w:i/>
          <w:iCs/>
          <w:sz w:val="24"/>
          <w:szCs w:val="24"/>
          <w:rtl w:val="0"/>
        </w:rPr>
        <w:t xml:space="preserve">ollaborator named Sarah Bush, who's at the University of Pennsylvania. So international observation is often done by non-governmental organizations and international organizations to provide evaluations and reporting on elections around the world. And it h</w:t>
      </w:r>
      <w:r>
        <w:rPr>
          <w:rFonts w:ascii="Cambria" w:hAnsi="Cambria" w:eastAsia="Cambria" w:cs="Cambria"/>
          <w:i/>
          <w:iCs/>
          <w:sz w:val="24"/>
          <w:szCs w:val="24"/>
          <w:rtl w:val="0"/>
        </w:rPr>
        <w:t xml:space="preserve">as become an [00:02:00] international norm of sorts with more than 80% of elections around the world having some election monitoring presence during the election cycle, if not election day itself, stationed at polling stations around countries. Researchers</w:t>
      </w:r>
      <w:r>
        <w:rPr>
          <w:rFonts w:ascii="Cambria" w:hAnsi="Cambria" w:eastAsia="Cambria" w:cs="Cambria"/>
          <w:i/>
          <w:iCs/>
          <w:sz w:val="24"/>
          <w:szCs w:val="24"/>
          <w:rtl w:val="0"/>
        </w:rPr>
        <w:t xml:space="preserve"> had tried to establish a connection between international election monitoring and the quality of elections, hypothesizing that the presence of monitors and their feedback would improve the quality of elections. We saw an opportunity to question whether el</w:t>
      </w:r>
      <w:r>
        <w:rPr>
          <w:rFonts w:ascii="Cambria" w:hAnsi="Cambria" w:eastAsia="Cambria" w:cs="Cambria"/>
          <w:i/>
          <w:iCs/>
          <w:sz w:val="24"/>
          <w:szCs w:val="24"/>
          <w:rtl w:val="0"/>
        </w:rPr>
        <w:t xml:space="preserve">ection monitors would have similar effects on trust in elections. So how do these reports and evaluations that monitors make about elections improve confidence in elections, if at all? And we saw an opportunity to do research in the country of Tunisia afte</w:t>
      </w:r>
      <w:r>
        <w:rPr>
          <w:rFonts w:ascii="Cambria" w:hAnsi="Cambria" w:eastAsia="Cambria" w:cs="Cambria"/>
          <w:i/>
          <w:iCs/>
          <w:sz w:val="24"/>
          <w:szCs w:val="24"/>
          <w:rtl w:val="0"/>
        </w:rPr>
        <w:t xml:space="preserve">r the Arab Spring because Tunisia was a blank slate. They'd never hosted election monitors before. They never really had high quality elections before. And what we [00:03:00] found in Tunisia was the presence of monitors, so just telling people that monito</w:t>
      </w:r>
      <w:r>
        <w:rPr>
          <w:rFonts w:ascii="Cambria" w:hAnsi="Cambria" w:eastAsia="Cambria" w:cs="Cambria"/>
          <w:i/>
          <w:iCs/>
          <w:sz w:val="24"/>
          <w:szCs w:val="24"/>
          <w:rtl w:val="0"/>
        </w:rPr>
        <w:t xml:space="preserve">rs are there at elections itself is a signal that the elections might be cleaner, fairer, more high quality, and so people have more confidence. But one of the things we wanted to test was does the identity of the monitor matter? Because in that election, </w:t>
      </w:r>
      <w:r>
        <w:rPr>
          <w:rFonts w:ascii="Cambria" w:hAnsi="Cambria" w:eastAsia="Cambria" w:cs="Cambria"/>
          <w:i/>
          <w:iCs/>
          <w:sz w:val="24"/>
          <w:szCs w:val="24"/>
          <w:rtl w:val="0"/>
        </w:rPr>
        <w:t xml:space="preserve">there were monitors from multiple different international organizations with different regional actors involved. And so one of the really interesting takeaways from that paper was that monitors from the Arab League were actually the most influential on ind</w:t>
      </w:r>
      <w:r>
        <w:rPr>
          <w:rFonts w:ascii="Cambria" w:hAnsi="Cambria" w:eastAsia="Cambria" w:cs="Cambria"/>
          <w:i/>
          <w:iCs/>
          <w:sz w:val="24"/>
          <w:szCs w:val="24"/>
          <w:rtl w:val="0"/>
        </w:rPr>
        <w:t xml:space="preserve">ividual confidence in elections. And we hypothesized two factors that would influence whether these monitors would be confidence building. One was their perceived capabilities to detect and deter election fraud, and the other was their perceived biases. Di</w:t>
      </w:r>
      <w:r>
        <w:rPr>
          <w:rFonts w:ascii="Cambria" w:hAnsi="Cambria" w:eastAsia="Cambria" w:cs="Cambria"/>
          <w:i/>
          <w:iCs/>
          <w:sz w:val="24"/>
          <w:szCs w:val="24"/>
          <w:rtl w:val="0"/>
        </w:rPr>
        <w:t xml:space="preserve">d people think that the election monitors would be [00:04:00] biased in favor of one party or another? And so some of the Western monitors that we tested from the United States and from Europe, they were viewed as highly capable, but biased in Tunisia, whi</w:t>
      </w:r>
      <w:r>
        <w:rPr>
          <w:rFonts w:ascii="Cambria" w:hAnsi="Cambria" w:eastAsia="Cambria" w:cs="Cambria"/>
          <w:i/>
          <w:iCs/>
          <w:sz w:val="24"/>
          <w:szCs w:val="24"/>
          <w:rtl w:val="0"/>
        </w:rPr>
        <w:t xml:space="preserve">ch makes sense given some of the Western world's foreign policy in the Middle East at the time. On the other hand, some of the more emerging organizations, like the African Union, they were viewed as less biased, but not as capable. And it was really the A</w:t>
      </w:r>
      <w:r>
        <w:rPr>
          <w:rFonts w:ascii="Cambria" w:hAnsi="Cambria" w:eastAsia="Cambria" w:cs="Cambria"/>
          <w:i/>
          <w:iCs/>
          <w:sz w:val="24"/>
          <w:szCs w:val="24"/>
          <w:rtl w:val="0"/>
        </w:rPr>
        <w:t xml:space="preserve">rab League that was viewed as both capable and unbiased that really changed people's opinions. So we carried out that research in Tunisia. We also carried out similar research in the country of Georgia around their 2018 presidential election. And then we'v</w:t>
      </w:r>
      <w:r>
        <w:rPr>
          <w:rFonts w:ascii="Cambria" w:hAnsi="Cambria" w:eastAsia="Cambria" w:cs="Cambria"/>
          <w:i/>
          <w:iCs/>
          <w:sz w:val="24"/>
          <w:szCs w:val="24"/>
          <w:rtl w:val="0"/>
        </w:rPr>
        <w:t xml:space="preserve">e also fielded similar studies in the United States going all the way back to the 2016 presidential election and basically every two years since, to try to understand the effects of international election monitors on [00:05:00] American Trust in elections.</w:t>
      </w:r>
      <w:r>
        <w:rPr>
          <w:rFonts w:ascii="Cambria" w:hAnsi="Cambria" w:eastAsia="Cambria" w:cs="Cambria"/>
          <w:i/>
          <w:iCs/>
          <w:sz w:val="24"/>
          <w:szCs w:val="24"/>
        </w:rPr>
      </w:r>
    </w:p>
    <w:p w14:paraId="0000000E">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And what do you find? </w:t>
      </w:r>
      <w:r>
        <w:rPr>
          <w:rFonts w:ascii="Cambria" w:hAnsi="Cambria" w:eastAsia="Cambria" w:cs="Cambria"/>
          <w:i/>
          <w:iCs/>
          <w:sz w:val="24"/>
          <w:szCs w:val="24"/>
        </w:rPr>
      </w:r>
    </w:p>
    <w:p w14:paraId="0000000F">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Lauren Prather:</w:t>
      </w:r>
      <w:r>
        <w:rPr>
          <w:rFonts w:ascii="Cambria" w:hAnsi="Cambria" w:eastAsia="Cambria" w:cs="Cambria"/>
          <w:i/>
          <w:iCs/>
          <w:sz w:val="24"/>
          <w:szCs w:val="24"/>
          <w:rtl w:val="0"/>
        </w:rPr>
        <w:t xml:space="preserve"> So we had a grant from Public Agenda this election cycle to look at how</w:t>
      </w:r>
      <w:r>
        <w:rPr>
          <w:rFonts w:ascii="Cambria" w:hAnsi="Cambria" w:eastAsia="Cambria" w:cs="Cambria"/>
          <w:i/>
          <w:iCs/>
          <w:sz w:val="24"/>
          <w:szCs w:val="24"/>
          <w:rtl w:val="0"/>
        </w:rPr>
        <w:t xml:space="preserve"> different identities of monitors in the US would improve confidence in elections. We tested American monitors from non-partisan organizations, international non-partisan monitors, and US party poll watchers. And we found that when people heard about US pa</w:t>
      </w:r>
      <w:r>
        <w:rPr>
          <w:rFonts w:ascii="Cambria" w:hAnsi="Cambria" w:eastAsia="Cambria" w:cs="Cambria"/>
          <w:i/>
          <w:iCs/>
          <w:sz w:val="24"/>
          <w:szCs w:val="24"/>
          <w:rtl w:val="0"/>
        </w:rPr>
        <w:t xml:space="preserve">rty poll watchers, they were less confident in elections, even though almost every US state allows party poll watchers. It's actually more varied whether or not states allow non-partisan observers from either US organizations or international organizations</w:t>
      </w:r>
      <w:r>
        <w:rPr>
          <w:rFonts w:ascii="Cambria" w:hAnsi="Cambria" w:eastAsia="Cambria" w:cs="Cambria"/>
          <w:i/>
          <w:iCs/>
          <w:sz w:val="24"/>
          <w:szCs w:val="24"/>
          <w:rtl w:val="0"/>
        </w:rPr>
        <w:t xml:space="preserve">, but yet those are the organizations that increase confidence. And so the US non-partisan monitors are actually the monitors that improved American confidence in elections the the most. And I should plug here. I have a book that was published with Sarah B</w:t>
      </w:r>
      <w:r>
        <w:rPr>
          <w:rFonts w:ascii="Cambria" w:hAnsi="Cambria" w:eastAsia="Cambria" w:cs="Cambria"/>
          <w:i/>
          <w:iCs/>
          <w:sz w:val="24"/>
          <w:szCs w:val="24"/>
          <w:rtl w:val="0"/>
        </w:rPr>
        <w:t xml:space="preserve">ush in [00:06:00] 2022 called Monitors and Medlers, where we explored the effects of foreign actors, both their democracy promoting activities like election monitors and their undermining activities like election meddling on local confidence in elections. </w:t>
      </w:r>
      <w:r>
        <w:rPr>
          <w:rFonts w:ascii="Cambria" w:hAnsi="Cambria" w:eastAsia="Cambria" w:cs="Cambria"/>
          <w:i/>
          <w:iCs/>
          <w:sz w:val="24"/>
          <w:szCs w:val="24"/>
        </w:rPr>
      </w:r>
    </w:p>
    <w:p w14:paraId="00000010">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So this conference</w:t>
      </w:r>
      <w:r>
        <w:rPr>
          <w:rFonts w:ascii="Cambria" w:hAnsi="Cambria" w:eastAsia="Cambria" w:cs="Cambria"/>
          <w:i/>
          <w:iCs/>
          <w:sz w:val="24"/>
          <w:szCs w:val="24"/>
          <w:rtl w:val="0"/>
        </w:rPr>
        <w:t xml:space="preserve"> brings together researchers and people working on elections, including people who advise election officials about how to run their elections, and then a bunch of people who run elections themselves. What's in it for you to be part of something like this? </w:t>
      </w:r>
      <w:r>
        <w:rPr>
          <w:rFonts w:ascii="Cambria" w:hAnsi="Cambria" w:eastAsia="Cambria" w:cs="Cambria"/>
          <w:i/>
          <w:iCs/>
          <w:sz w:val="24"/>
          <w:szCs w:val="24"/>
        </w:rPr>
      </w:r>
    </w:p>
    <w:p w14:paraId="00000011">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Lauren Prather:</w:t>
      </w:r>
      <w:r>
        <w:rPr>
          <w:rFonts w:ascii="Cambria" w:hAnsi="Cambria" w:eastAsia="Cambria" w:cs="Cambria"/>
          <w:i/>
          <w:iCs/>
          <w:sz w:val="24"/>
          <w:szCs w:val="24"/>
          <w:rtl w:val="0"/>
        </w:rPr>
        <w:t xml:space="preserve"> For me</w:t>
      </w:r>
      <w:r>
        <w:rPr>
          <w:rFonts w:ascii="Cambria" w:hAnsi="Cambria" w:eastAsia="Cambria" w:cs="Cambria"/>
          <w:i/>
          <w:iCs/>
          <w:sz w:val="24"/>
          <w:szCs w:val="24"/>
          <w:rtl w:val="0"/>
        </w:rPr>
        <w:t xml:space="preserve">, I'm really interested in learning from practitioners about how they can put my research to use. One way that my research has actually changed since participating in these convenings, I learned that one of the constituencies that really matters is state l</w:t>
      </w:r>
      <w:r>
        <w:rPr>
          <w:rFonts w:ascii="Cambria" w:hAnsi="Cambria" w:eastAsia="Cambria" w:cs="Cambria"/>
          <w:i/>
          <w:iCs/>
          <w:sz w:val="24"/>
          <w:szCs w:val="24"/>
          <w:rtl w:val="0"/>
        </w:rPr>
        <w:t xml:space="preserve">egislators, because state legislators have the power to change election law in US states. And so one way that we actually modified our research design [00:07:00] to take into account that consideration, which again we learned from practitioners at meetings</w:t>
      </w:r>
      <w:r>
        <w:rPr>
          <w:rFonts w:ascii="Cambria" w:hAnsi="Cambria" w:eastAsia="Cambria" w:cs="Cambria"/>
          <w:i/>
          <w:iCs/>
          <w:sz w:val="24"/>
          <w:szCs w:val="24"/>
          <w:rtl w:val="0"/>
        </w:rPr>
        <w:t xml:space="preserve"> like this, is that that finding about American nonpartisan observers being the most influential and the most confidence building, we also tested whether state legislative candidates positions on allowing election monitors improved their electability. So w</w:t>
      </w:r>
      <w:r>
        <w:rPr>
          <w:rFonts w:ascii="Cambria" w:hAnsi="Cambria" w:eastAsia="Cambria" w:cs="Cambria"/>
          <w:i/>
          <w:iCs/>
          <w:sz w:val="24"/>
          <w:szCs w:val="24"/>
          <w:rtl w:val="0"/>
        </w:rPr>
        <w:t xml:space="preserve">e designed a study where we gave people information about where state legislative candidates stood on different issues, taxes, immigration, and then what was their stance on allowing different types of election monitors at their state's election. And we ac</w:t>
      </w:r>
      <w:r>
        <w:rPr>
          <w:rFonts w:ascii="Cambria" w:hAnsi="Cambria" w:eastAsia="Cambria" w:cs="Cambria"/>
          <w:i/>
          <w:iCs/>
          <w:sz w:val="24"/>
          <w:szCs w:val="24"/>
          <w:rtl w:val="0"/>
        </w:rPr>
        <w:t xml:space="preserve">tually didn't find much difference across different types of monitors like I was just describing, but what we definitely found was a huge penalty if you were a state legislative candidate and you did not want to allow any monitors [00:08:00] at elections. </w:t>
      </w:r>
      <w:r>
        <w:rPr>
          <w:rFonts w:ascii="Cambria" w:hAnsi="Cambria" w:eastAsia="Cambria" w:cs="Cambria"/>
          <w:i/>
          <w:iCs/>
          <w:sz w:val="24"/>
          <w:szCs w:val="24"/>
          <w:rtl w:val="0"/>
        </w:rPr>
        <w:t xml:space="preserve">So there's definitely a preference for transparency, for openness, for a third party way of vetting the conduct of elections. And we wouldn't have gone down that route in terms of thinking about the actual politics of this-- can we take something to a stat</w:t>
      </w:r>
      <w:r>
        <w:rPr>
          <w:rFonts w:ascii="Cambria" w:hAnsi="Cambria" w:eastAsia="Cambria" w:cs="Cambria"/>
          <w:i/>
          <w:iCs/>
          <w:sz w:val="24"/>
          <w:szCs w:val="24"/>
          <w:rtl w:val="0"/>
        </w:rPr>
        <w:t xml:space="preserve">e legislative candidate and say, " If you would like some ammunition for why you should be talking about this in your campaign and why you should consider actually changing the laws in your state to allow more access for monitoring, here is your evidence."</w:t>
      </w:r>
      <w:r>
        <w:rPr>
          <w:rFonts w:ascii="Cambria" w:hAnsi="Cambria" w:eastAsia="Cambria" w:cs="Cambria"/>
          <w:i/>
          <w:iCs/>
          <w:sz w:val="24"/>
          <w:szCs w:val="24"/>
        </w:rPr>
      </w:r>
    </w:p>
    <w:p w14:paraId="00000012">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Where does this go from here?</w:t>
      </w:r>
      <w:r>
        <w:rPr>
          <w:rFonts w:ascii="Cambria" w:hAnsi="Cambria" w:eastAsia="Cambria" w:cs="Cambria"/>
          <w:i/>
          <w:iCs/>
          <w:sz w:val="24"/>
          <w:szCs w:val="24"/>
        </w:rPr>
      </w:r>
    </w:p>
    <w:p w14:paraId="00000013">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Lauren Prather:</w:t>
      </w:r>
      <w:r>
        <w:rPr>
          <w:rFonts w:ascii="Cambria" w:hAnsi="Cambria" w:eastAsia="Cambria" w:cs="Cambria"/>
          <w:i/>
          <w:iCs/>
          <w:sz w:val="24"/>
          <w:szCs w:val="24"/>
          <w:rtl w:val="0"/>
        </w:rPr>
        <w:t xml:space="preserve"> I hope that the way it'll go is more research, practice partnerships, more learning, more dial</w:t>
      </w:r>
      <w:r>
        <w:rPr>
          <w:rFonts w:ascii="Cambria" w:hAnsi="Cambria" w:eastAsia="Cambria" w:cs="Cambria"/>
          <w:i/>
          <w:iCs/>
          <w:sz w:val="24"/>
          <w:szCs w:val="24"/>
          <w:rtl w:val="0"/>
        </w:rPr>
        <w:t xml:space="preserve">oguing between practitioners and researchers. I've been involved in other communities like this in my other fields, international relations and comparative politics, and find real value in having convenings like this where we can share ideas, but then also</w:t>
      </w:r>
      <w:r>
        <w:rPr>
          <w:rFonts w:ascii="Cambria" w:hAnsi="Cambria" w:eastAsia="Cambria" w:cs="Cambria"/>
          <w:i/>
          <w:iCs/>
          <w:sz w:val="24"/>
          <w:szCs w:val="24"/>
          <w:rtl w:val="0"/>
        </w:rPr>
        <w:t xml:space="preserve"> where we [00:09:00] can develop more intensive partnerships to actually do research together that answers practitioner's questions and also has theoretical and empirical validity for researchers and contributes to bodies of literature in academia as well.</w:t>
      </w:r>
      <w:r>
        <w:rPr>
          <w:rFonts w:ascii="Cambria" w:hAnsi="Cambria" w:eastAsia="Cambria" w:cs="Cambria"/>
          <w:i/>
          <w:iCs/>
          <w:sz w:val="24"/>
          <w:szCs w:val="24"/>
        </w:rPr>
      </w:r>
    </w:p>
    <w:p w14:paraId="00000014">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 xml:space="preserve">[OUTRO MUX FADE UP]</w:t>
      </w:r>
      <w:r>
        <w:rPr>
          <w:rFonts w:ascii="Cambria" w:hAnsi="Cambria" w:eastAsia="Cambria" w:cs="Cambria"/>
          <w:i/>
          <w:iCs/>
          <w:sz w:val="24"/>
          <w:szCs w:val="24"/>
        </w:rPr>
      </w:r>
    </w:p>
    <w:p w14:paraId="00000015">
      <w:pPr>
        <w:pBdr/>
        <w:spacing w:after="360" w:line="240" w:lineRule="auto"/>
        <w:ind/>
        <w:rPr>
          <w:rFonts w:ascii="Cambria" w:hAnsi="Cambria" w:eastAsia="Cambria" w:cs="Cambria"/>
          <w:sz w:val="24"/>
          <w:szCs w:val="24"/>
        </w:rPr>
      </w:pPr>
      <w:r>
        <w:rPr>
          <w:rFonts w:ascii="Cambria" w:hAnsi="Cambria" w:eastAsia="Cambria" w:cs="Cambria"/>
          <w:b/>
          <w:bCs/>
          <w:sz w:val="24"/>
          <w:szCs w:val="24"/>
          <w:rtl w:val="0"/>
        </w:rPr>
        <w:t xml:space="preserve">OUTRO/NEXT EP TEASE </w:t>
      </w:r>
      <w:r>
        <w:rPr>
          <w:rFonts w:ascii="Cambria" w:hAnsi="Cambria" w:eastAsia="Cambria" w:cs="Cambria"/>
          <w:b/>
          <w:bCs/>
          <w:i/>
          <w:iCs/>
          <w:sz w:val="24"/>
          <w:szCs w:val="24"/>
          <w:rtl w:val="0"/>
        </w:rPr>
        <w:t xml:space="preserve">[30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That, again, was Lauren Prather, associate professor of political science at UCSD. I’m Avi Green. Next week on the podcast, I’ll be talking with  Ben Ginsberg, a political law advocate who is most well known for his work representing the Republican Party.</w:t>
      </w:r>
      <w:r>
        <w:rPr>
          <w:rFonts w:ascii="Cambria" w:hAnsi="Cambria" w:eastAsia="Cambria" w:cs="Cambria"/>
          <w:sz w:val="24"/>
          <w:szCs w:val="24"/>
        </w:rPr>
      </w:r>
    </w:p>
    <w:p w14:paraId="00000016">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Ben Ginsberg:</w:t>
      </w:r>
      <w:r>
        <w:rPr>
          <w:rFonts w:ascii="Cambria" w:hAnsi="Cambria" w:eastAsia="Cambria" w:cs="Cambria"/>
          <w:b/>
          <w:bCs/>
          <w:i/>
          <w:iCs/>
          <w:sz w:val="24"/>
          <w:szCs w:val="24"/>
          <w:rtl w:val="0"/>
        </w:rPr>
        <w:t xml:space="preserve"> </w:t>
      </w:r>
      <w:r>
        <w:rPr>
          <w:rFonts w:ascii="Cambria" w:hAnsi="Cambria" w:eastAsia="Cambria" w:cs="Cambria"/>
          <w:i/>
          <w:iCs/>
          <w:sz w:val="24"/>
          <w:szCs w:val="24"/>
          <w:rtl w:val="0"/>
        </w:rPr>
        <w:t xml:space="preserve"> I think you should have more than about three people in that room who have actually talked to Trump supporters.</w:t>
      </w:r>
      <w:r>
        <w:rPr>
          <w:rtl w:val="0"/>
        </w:rPr>
      </w:r>
      <w:r>
        <w:rPr>
          <w:rFonts w:ascii="Cambria" w:hAnsi="Cambria" w:eastAsia="Cambria" w:cs="Cambria"/>
          <w:i/>
          <w:iCs/>
          <w:sz w:val="24"/>
          <w:szCs w:val="24"/>
        </w:rPr>
      </w:r>
    </w:p>
    <w:p w14:paraId="00000017">
      <w:pPr>
        <w:pBdr/>
        <w:spacing w:after="360" w:line="240" w:lineRule="auto"/>
        <w:ind/>
        <w:rPr>
          <w:rFonts w:ascii="Cambria" w:hAnsi="Cambria" w:eastAsia="Cambria" w:cs="Cambria"/>
          <w:sz w:val="24"/>
          <w:szCs w:val="24"/>
        </w:rPr>
      </w:pPr>
      <w:r>
        <w:rPr>
          <w:rFonts w:ascii="Cambria" w:hAnsi="Cambria" w:eastAsia="Cambria" w:cs="Cambria"/>
          <w:sz w:val="24"/>
          <w:szCs w:val="24"/>
          <w:rtl w:val="0"/>
        </w:rPr>
        <w:t xml:space="preserve">That’s next week on the </w:t>
      </w:r>
      <w:r>
        <w:rPr>
          <w:rFonts w:ascii="Cambria" w:hAnsi="Cambria" w:eastAsia="Cambria" w:cs="Cambria"/>
          <w:i/>
          <w:iCs/>
          <w:sz w:val="24"/>
          <w:szCs w:val="24"/>
          <w:rtl w:val="0"/>
        </w:rPr>
        <w:t xml:space="preserve">Election Trust Research Podcast.</w:t>
      </w:r>
      <w:r>
        <w:rPr>
          <w:rtl w:val="0"/>
        </w:rPr>
      </w:r>
      <w:r>
        <w:rPr>
          <w:rFonts w:ascii="Cambria" w:hAnsi="Cambria" w:eastAsia="Cambria" w:cs="Cambria"/>
          <w:sz w:val="24"/>
          <w:szCs w:val="24"/>
        </w:rPr>
      </w:r>
    </w:p>
    <w:p w14:paraId="00000018">
      <w:pPr>
        <w:pBdr/>
        <w:spacing w:after="360" w:line="240" w:lineRule="auto"/>
        <w:ind/>
        <w:rPr>
          <w:rFonts w:ascii="Cambria" w:hAnsi="Cambria" w:eastAsia="Cambria" w:cs="Cambria"/>
          <w:i/>
          <w:iCs/>
          <w:sz w:val="24"/>
          <w:szCs w:val="24"/>
        </w:rPr>
      </w:pPr>
      <w:r>
        <w:rPr>
          <w:rFonts w:ascii="Cambria" w:hAnsi="Cambria" w:eastAsia="Cambria" w:cs="Cambria"/>
          <w:b/>
          <w:bCs/>
          <w:sz w:val="24"/>
          <w:szCs w:val="24"/>
          <w:rtl w:val="0"/>
        </w:rPr>
        <w:t xml:space="preserve">CREDITS:</w:t>
      </w:r>
      <w:r>
        <w:rPr>
          <w:rFonts w:ascii="Cambria" w:hAnsi="Cambria" w:eastAsia="Cambria" w:cs="Cambria"/>
          <w:sz w:val="24"/>
          <w:szCs w:val="24"/>
          <w:rtl w:val="0"/>
        </w:rPr>
        <w:t xml:space="preserve"> The </w:t>
      </w:r>
      <w:r>
        <w:rPr>
          <w:rFonts w:ascii="Cambria" w:hAnsi="Cambria" w:eastAsia="Cambria" w:cs="Cambria"/>
          <w:i/>
          <w:iCs/>
          <w:sz w:val="24"/>
          <w:szCs w:val="24"/>
          <w:rtl w:val="0"/>
        </w:rPr>
        <w:t xml:space="preserve">Election Trust Research Podcast</w:t>
      </w:r>
      <w:r>
        <w:rPr>
          <w:rFonts w:ascii="Cambria" w:hAnsi="Cambria" w:eastAsia="Cambria" w:cs="Cambria"/>
          <w:sz w:val="24"/>
          <w:szCs w:val="24"/>
          <w:rtl w:val="0"/>
        </w:rPr>
        <w:t xml:space="preserve"> is supported by the Center for Transparent and Trusted Elections at the University of California San Diego in collabor</w:t>
      </w:r>
      <w:r>
        <w:rPr>
          <w:rFonts w:ascii="Cambria" w:hAnsi="Cambria" w:eastAsia="Cambria" w:cs="Cambria"/>
          <w:sz w:val="24"/>
          <w:szCs w:val="24"/>
          <w:rtl w:val="0"/>
        </w:rPr>
        <w:t xml:space="preserve">ation with the MIT Election Data and Science Lab and the SNF Agora Institute at Johns Hopkins University. This podcast is produced and edited by Lyric Bowditch. Myron Kaplan recorded our interviews. Our intro and outro song is Strange Bop by contreloup [“c</w:t>
      </w:r>
      <w:r>
        <w:rPr>
          <w:rFonts w:ascii="Cambria" w:hAnsi="Cambria" w:eastAsia="Cambria" w:cs="Cambria"/>
          <w:sz w:val="24"/>
          <w:szCs w:val="24"/>
          <w:rtl w:val="0"/>
        </w:rPr>
        <w:t xml:space="preserve">ontra-loop”], via the Free Music Archive. To learn more about the University of California San Diego's work on election trust, check out B-I-T dot L-Y slash election trust research. That's B-I-T dot L-Y slash election trust research. Thanks for listening. </w:t>
      </w:r>
      <w:r>
        <w:rPr>
          <w:rtl w:val="0"/>
        </w:rPr>
      </w:r>
      <w:r>
        <w:rPr>
          <w:rFonts w:ascii="Cambria" w:hAnsi="Cambria" w:eastAsia="Cambria" w:cs="Cambria"/>
          <w:i/>
          <w:iCs/>
          <w:sz w:val="24"/>
          <w:szCs w:val="24"/>
        </w:rPr>
      </w:r>
    </w:p>
    <w:p w14:paraId="00000019">
      <w:pPr>
        <w:pBdr/>
        <w:spacing w:after="360" w:line="240" w:lineRule="auto"/>
        <w:ind/>
        <w:rPr>
          <w:rFonts w:ascii="Cambria" w:hAnsi="Cambria" w:eastAsia="Cambria" w:cs="Cambria"/>
          <w:i/>
          <w:iCs/>
          <w:sz w:val="24"/>
          <w:szCs w:val="24"/>
        </w:rPr>
      </w:pPr>
      <w:r>
        <w:rPr>
          <w:rtl w:val="0"/>
        </w:rPr>
      </w:r>
      <w:r>
        <w:rPr>
          <w:rFonts w:ascii="Cambria" w:hAnsi="Cambria" w:eastAsia="Cambria" w:cs="Cambria"/>
          <w:i/>
          <w:iCs/>
          <w:sz w:val="24"/>
          <w:szCs w:val="24"/>
        </w:rPr>
      </w:r>
    </w:p>
    <w:sectPr>
      <w:headerReference w:type="default" r:id="rId8"/>
      <w:footnotePr/>
      <w:endnotePr/>
      <w:type w:val="nextPage"/>
      <w:pgSz w:h="15840" w:orient="portrait" w:w="12240"/>
      <w:pgMar w:top="1440" w:right="1440" w:bottom="1440" w:left="1440" w:header="720" w:footer="720" w:gutter="0"/>
      <w:pgNumType w:start="1"/>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font>
  <w:font w:name="Arial">
    <w:panose1 w:val="020B0604020202020204"/>
  </w:font>
  <w:font w:name="Calibri">
    <w:panose1 w:val="020F0502020204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00001A">
    <w:pPr>
      <w:pBdr/>
      <w:spacing/>
      <w:ind/>
      <w:jc w:val="right"/>
      <w:rPr/>
    </w:pPr>
    <w:r>
      <w:fldChar w:fldCharType="begin"/>
      <w:instrText xml:space="preserve">PAGE</w:instrText>
      <w:fldChar w:fldCharType="separate"/>
      <w:fldChar w:fldCharType="end"/>
    </w:r>
    <w:r>
      <w:rPr>
        <w:rtl w:val="0"/>
      </w:r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en" w:eastAsia="zh-CN" w:bidi="ar-SA"/>
      </w:rPr>
    </w:rPrDefault>
    <w:pPrDefault>
      <w:pPr>
        <w:pBdr/>
        <w:spacing w:after="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5">
    <w:name w:val="Heading 7"/>
    <w:basedOn w:val="681"/>
    <w:next w:val="681"/>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81"/>
    <w:next w:val="681"/>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81"/>
    <w:next w:val="681"/>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682"/>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683"/>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684"/>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685"/>
    <w:uiPriority w:val="9"/>
    <w:pPr>
      <w:pBdr/>
      <w:spacing/>
      <w:ind/>
    </w:pPr>
    <w:rPr>
      <w:rFonts w:ascii="Arial" w:hAnsi="Arial" w:eastAsia="Arial" w:cs="Arial"/>
      <w:i/>
      <w:iCs/>
      <w:color w:val="0f4761" w:themeColor="accent1" w:themeShade="BF"/>
    </w:rPr>
  </w:style>
  <w:style w:type="character" w:styleId="154">
    <w:name w:val="Heading 5 Char"/>
    <w:basedOn w:val="148"/>
    <w:link w:val="686"/>
    <w:uiPriority w:val="9"/>
    <w:pPr>
      <w:pBdr/>
      <w:spacing/>
      <w:ind/>
    </w:pPr>
    <w:rPr>
      <w:rFonts w:ascii="Arial" w:hAnsi="Arial" w:eastAsia="Arial" w:cs="Arial"/>
      <w:color w:val="0f4761" w:themeColor="accent1" w:themeShade="BF"/>
    </w:rPr>
  </w:style>
  <w:style w:type="character" w:styleId="155">
    <w:name w:val="Heading 6 Char"/>
    <w:basedOn w:val="148"/>
    <w:link w:val="687"/>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character" w:styleId="160">
    <w:name w:val="Title Char"/>
    <w:basedOn w:val="148"/>
    <w:link w:val="688"/>
    <w:uiPriority w:val="10"/>
    <w:pPr>
      <w:pBdr/>
      <w:spacing/>
      <w:ind/>
    </w:pPr>
    <w:rPr>
      <w:rFonts w:ascii="Arial" w:hAnsi="Arial" w:eastAsia="Arial" w:cs="Arial"/>
      <w:spacing w:val="-10"/>
      <w:sz w:val="56"/>
      <w:szCs w:val="56"/>
    </w:rPr>
  </w:style>
  <w:style w:type="character" w:styleId="162">
    <w:name w:val="Subtitle Char"/>
    <w:basedOn w:val="148"/>
    <w:link w:val="689"/>
    <w:uiPriority w:val="11"/>
    <w:pPr>
      <w:pBdr/>
      <w:spacing/>
      <w:ind/>
    </w:pPr>
    <w:rPr>
      <w:color w:val="595959" w:themeColor="text1" w:themeTint="A6"/>
      <w:spacing w:val="15"/>
      <w:sz w:val="28"/>
      <w:szCs w:val="28"/>
    </w:rPr>
  </w:style>
  <w:style w:type="paragraph" w:styleId="163">
    <w:name w:val="Quote"/>
    <w:basedOn w:val="681"/>
    <w:next w:val="681"/>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paragraph" w:styleId="165">
    <w:name w:val="List Paragraph"/>
    <w:basedOn w:val="681"/>
    <w:uiPriority w:val="34"/>
    <w:qFormat/>
    <w:pPr>
      <w:pBdr/>
      <w:spacing/>
      <w:ind w:left="720"/>
      <w:contextualSpacing w:val="true"/>
    </w:p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81"/>
    <w:next w:val="681"/>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681"/>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81"/>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81"/>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81"/>
    <w:next w:val="681"/>
    <w:uiPriority w:val="35"/>
    <w:unhideWhenUsed/>
    <w:qFormat/>
    <w:pPr>
      <w:pBdr/>
      <w:spacing w:after="200" w:line="240" w:lineRule="auto"/>
      <w:ind/>
    </w:pPr>
    <w:rPr>
      <w:i/>
      <w:iCs/>
      <w:color w:val="0e2841" w:themeColor="text2"/>
      <w:sz w:val="18"/>
      <w:szCs w:val="18"/>
    </w:rPr>
  </w:style>
  <w:style w:type="paragraph" w:styleId="181">
    <w:name w:val="footnote text"/>
    <w:basedOn w:val="681"/>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81"/>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81"/>
    <w:next w:val="681"/>
    <w:uiPriority w:val="39"/>
    <w:unhideWhenUsed/>
    <w:pPr>
      <w:pBdr/>
      <w:spacing w:after="100"/>
      <w:ind/>
    </w:pPr>
  </w:style>
  <w:style w:type="paragraph" w:styleId="190">
    <w:name w:val="toc 2"/>
    <w:basedOn w:val="681"/>
    <w:next w:val="681"/>
    <w:uiPriority w:val="39"/>
    <w:unhideWhenUsed/>
    <w:pPr>
      <w:pBdr/>
      <w:spacing w:after="100"/>
      <w:ind w:left="220"/>
    </w:pPr>
  </w:style>
  <w:style w:type="paragraph" w:styleId="191">
    <w:name w:val="toc 3"/>
    <w:basedOn w:val="681"/>
    <w:next w:val="681"/>
    <w:uiPriority w:val="39"/>
    <w:unhideWhenUsed/>
    <w:pPr>
      <w:pBdr/>
      <w:spacing w:after="100"/>
      <w:ind w:left="440"/>
    </w:pPr>
  </w:style>
  <w:style w:type="paragraph" w:styleId="192">
    <w:name w:val="toc 4"/>
    <w:basedOn w:val="681"/>
    <w:next w:val="681"/>
    <w:uiPriority w:val="39"/>
    <w:unhideWhenUsed/>
    <w:pPr>
      <w:pBdr/>
      <w:spacing w:after="100"/>
      <w:ind w:left="660"/>
    </w:pPr>
  </w:style>
  <w:style w:type="paragraph" w:styleId="193">
    <w:name w:val="toc 5"/>
    <w:basedOn w:val="681"/>
    <w:next w:val="681"/>
    <w:uiPriority w:val="39"/>
    <w:unhideWhenUsed/>
    <w:pPr>
      <w:pBdr/>
      <w:spacing w:after="100"/>
      <w:ind w:left="880"/>
    </w:pPr>
  </w:style>
  <w:style w:type="paragraph" w:styleId="194">
    <w:name w:val="toc 6"/>
    <w:basedOn w:val="681"/>
    <w:next w:val="681"/>
    <w:uiPriority w:val="39"/>
    <w:unhideWhenUsed/>
    <w:pPr>
      <w:pBdr/>
      <w:spacing w:after="100"/>
      <w:ind w:left="1100"/>
    </w:pPr>
  </w:style>
  <w:style w:type="paragraph" w:styleId="195">
    <w:name w:val="toc 7"/>
    <w:basedOn w:val="681"/>
    <w:next w:val="681"/>
    <w:uiPriority w:val="39"/>
    <w:unhideWhenUsed/>
    <w:pPr>
      <w:pBdr/>
      <w:spacing w:after="100"/>
      <w:ind w:left="1320"/>
    </w:pPr>
  </w:style>
  <w:style w:type="paragraph" w:styleId="196">
    <w:name w:val="toc 8"/>
    <w:basedOn w:val="681"/>
    <w:next w:val="681"/>
    <w:uiPriority w:val="39"/>
    <w:unhideWhenUsed/>
    <w:pPr>
      <w:pBdr/>
      <w:spacing w:after="100"/>
      <w:ind w:left="1540"/>
    </w:pPr>
  </w:style>
  <w:style w:type="paragraph" w:styleId="197">
    <w:name w:val="toc 9"/>
    <w:basedOn w:val="681"/>
    <w:next w:val="681"/>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81"/>
    <w:next w:val="681"/>
    <w:uiPriority w:val="99"/>
    <w:unhideWhenUsed/>
    <w:pPr>
      <w:pBdr/>
      <w:spacing w:after="0" w:afterAutospacing="0"/>
      <w:ind/>
    </w:pPr>
  </w:style>
  <w:style w:type="table" w:styleId="680">
    <w:name w:val="TableNormal"/>
    <w:pPr>
      <w:pBdr/>
      <w:spacing/>
      <w:ind/>
    </w:pPr>
    <w:tblPr>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81" w:default="1">
    <w:name w:val="Normal"/>
    <w:pPr>
      <w:pBdr/>
      <w:spacing/>
      <w:ind/>
    </w:pPr>
  </w:style>
  <w:style w:type="paragraph" w:styleId="682">
    <w:name w:val="Heading 1"/>
    <w:basedOn w:val="681"/>
    <w:next w:val="681"/>
    <w:pPr>
      <w:keepNext w:val="true"/>
      <w:keepLines w:val="true"/>
      <w:pageBreakBefore w:val="false"/>
      <w:pBdr/>
      <w:spacing w:after="120" w:before="400"/>
      <w:ind/>
    </w:pPr>
    <w:rPr>
      <w:sz w:val="40"/>
      <w:szCs w:val="40"/>
    </w:rPr>
  </w:style>
  <w:style w:type="paragraph" w:styleId="683">
    <w:name w:val="Heading 2"/>
    <w:basedOn w:val="681"/>
    <w:next w:val="681"/>
    <w:pPr>
      <w:keepNext w:val="true"/>
      <w:keepLines w:val="true"/>
      <w:pageBreakBefore w:val="false"/>
      <w:pBdr/>
      <w:spacing w:after="120" w:before="360"/>
      <w:ind/>
    </w:pPr>
    <w:rPr>
      <w:b w:val="0"/>
      <w:bCs w:val="0"/>
      <w:sz w:val="32"/>
      <w:szCs w:val="32"/>
    </w:rPr>
  </w:style>
  <w:style w:type="paragraph" w:styleId="684">
    <w:name w:val="Heading 3"/>
    <w:basedOn w:val="681"/>
    <w:next w:val="681"/>
    <w:pPr>
      <w:keepNext w:val="true"/>
      <w:keepLines w:val="true"/>
      <w:pageBreakBefore w:val="false"/>
      <w:pBdr/>
      <w:spacing w:after="80" w:before="320"/>
      <w:ind/>
    </w:pPr>
    <w:rPr>
      <w:b w:val="0"/>
      <w:bCs w:val="0"/>
      <w:color w:val="434343"/>
      <w:sz w:val="28"/>
      <w:szCs w:val="28"/>
    </w:rPr>
  </w:style>
  <w:style w:type="paragraph" w:styleId="685">
    <w:name w:val="Heading 4"/>
    <w:basedOn w:val="681"/>
    <w:next w:val="681"/>
    <w:pPr>
      <w:keepNext w:val="true"/>
      <w:keepLines w:val="true"/>
      <w:pageBreakBefore w:val="false"/>
      <w:pBdr/>
      <w:spacing w:after="80" w:before="280"/>
      <w:ind/>
    </w:pPr>
    <w:rPr>
      <w:color w:val="666666"/>
      <w:sz w:val="24"/>
      <w:szCs w:val="24"/>
    </w:rPr>
  </w:style>
  <w:style w:type="paragraph" w:styleId="686">
    <w:name w:val="Heading 5"/>
    <w:basedOn w:val="681"/>
    <w:next w:val="681"/>
    <w:pPr>
      <w:keepNext w:val="true"/>
      <w:keepLines w:val="true"/>
      <w:pageBreakBefore w:val="false"/>
      <w:pBdr/>
      <w:spacing w:after="80" w:before="240"/>
      <w:ind/>
    </w:pPr>
    <w:rPr>
      <w:color w:val="666666"/>
      <w:sz w:val="22"/>
      <w:szCs w:val="22"/>
    </w:rPr>
  </w:style>
  <w:style w:type="paragraph" w:styleId="687">
    <w:name w:val="Heading 6"/>
    <w:basedOn w:val="681"/>
    <w:next w:val="681"/>
    <w:pPr>
      <w:keepNext w:val="true"/>
      <w:keepLines w:val="true"/>
      <w:pageBreakBefore w:val="false"/>
      <w:pBdr/>
      <w:spacing w:after="80" w:before="240"/>
      <w:ind/>
    </w:pPr>
    <w:rPr>
      <w:i/>
      <w:iCs/>
      <w:color w:val="666666"/>
      <w:sz w:val="22"/>
      <w:szCs w:val="22"/>
    </w:rPr>
  </w:style>
  <w:style w:type="paragraph" w:styleId="688">
    <w:name w:val="Title"/>
    <w:basedOn w:val="681"/>
    <w:next w:val="681"/>
    <w:pPr>
      <w:keepNext w:val="true"/>
      <w:keepLines w:val="true"/>
      <w:pageBreakBefore w:val="false"/>
      <w:pBdr/>
      <w:spacing w:after="60" w:before="0"/>
      <w:ind/>
    </w:pPr>
    <w:rPr>
      <w:sz w:val="52"/>
      <w:szCs w:val="52"/>
    </w:rPr>
  </w:style>
  <w:style w:type="paragraph" w:styleId="689">
    <w:name w:val="Subtitle"/>
    <w:basedOn w:val="681"/>
    <w:next w:val="681"/>
    <w:pPr>
      <w:keepNext w:val="true"/>
      <w:keepLines w:val="true"/>
      <w:pageBreakBefore w:val="false"/>
      <w:pBdr/>
      <w:spacing w:after="320" w:before="0"/>
      <w:ind/>
    </w:pPr>
    <w:rPr>
      <w:rFonts w:ascii="Arial" w:hAnsi="Arial" w:eastAsia="Arial" w:cs="Arial"/>
      <w:i w:val="0"/>
      <w:iCs w:val="0"/>
      <w:color w:val="666666"/>
      <w:sz w:val="30"/>
      <w:szCs w:val="3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ONLYOFFICE/9.2.0.100</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coreProperties>
</file>